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羊皮紙" color2="#cfc" type="tile"/>
    </v:background>
  </w:background>
  <w:body>
    <w:tbl>
      <w:tblPr>
        <w:tblW w:w="0" w:type="auto"/>
        <w:tblLook w:val="01E0"/>
      </w:tblPr>
      <w:tblGrid>
        <w:gridCol w:w="5868"/>
        <w:gridCol w:w="455"/>
        <w:gridCol w:w="2964"/>
      </w:tblGrid>
      <w:tr w:rsidR="00751D6C">
        <w:tc>
          <w:tcPr>
            <w:tcW w:w="6323" w:type="dxa"/>
            <w:gridSpan w:val="2"/>
          </w:tcPr>
          <w:p w:rsidR="00751D6C" w:rsidRDefault="00B725F9" w:rsidP="008E4B21">
            <w:pPr>
              <w:pStyle w:val="HTML"/>
              <w:tabs>
                <w:tab w:val="clear" w:pos="916"/>
                <w:tab w:val="clear" w:pos="9160"/>
              </w:tabs>
              <w:spacing w:before="100" w:beforeAutospacing="1" w:after="100" w:afterAutospacing="1"/>
              <w:rPr>
                <w:rFonts w:ascii="新細明體" w:eastAsia="新細明體" w:hAnsi="新細明體"/>
                <w:b/>
                <w:spacing w:val="24"/>
                <w:sz w:val="32"/>
                <w:szCs w:val="32"/>
              </w:rPr>
            </w:pPr>
            <w:r>
              <w:t>10</w:t>
            </w:r>
            <w:r>
              <w:rPr>
                <w:rFonts w:hint="eastAsia"/>
              </w:rPr>
              <w:t>1年</w:t>
            </w:r>
            <w:r w:rsidR="008E4B21">
              <w:rPr>
                <w:rFonts w:hint="eastAsia"/>
              </w:rPr>
              <w:t>9</w:t>
            </w:r>
            <w:r w:rsidR="00751D6C">
              <w:rPr>
                <w:rFonts w:hint="eastAsia"/>
              </w:rPr>
              <w:t>月號 道 法 法 訊 (2</w:t>
            </w:r>
            <w:r w:rsidR="00B40EDD">
              <w:rPr>
                <w:rFonts w:hint="eastAsia"/>
              </w:rPr>
              <w:t>4</w:t>
            </w:r>
            <w:r w:rsidR="008E4B21">
              <w:rPr>
                <w:rFonts w:hint="eastAsia"/>
              </w:rPr>
              <w:t>5</w:t>
            </w:r>
            <w:r w:rsidR="00751D6C">
              <w:rPr>
                <w:rFonts w:hint="eastAsia"/>
              </w:rPr>
              <w:t>)</w:t>
            </w:r>
          </w:p>
        </w:tc>
        <w:tc>
          <w:tcPr>
            <w:tcW w:w="2964" w:type="dxa"/>
          </w:tcPr>
          <w:p w:rsidR="00751D6C" w:rsidRDefault="00751D6C">
            <w:pPr>
              <w:pStyle w:val="a7"/>
              <w:jc w:val="right"/>
            </w:pPr>
            <w:r>
              <w:rPr>
                <w:rFonts w:ascii="Arial Black" w:hAnsi="Arial Black"/>
                <w:color w:val="0000FF"/>
              </w:rPr>
              <w:t>DEEP &amp; FAR</w:t>
            </w:r>
          </w:p>
          <w:p w:rsidR="00751D6C" w:rsidRDefault="00751D6C">
            <w:pPr>
              <w:spacing w:line="216" w:lineRule="auto"/>
              <w:rPr>
                <w:rFonts w:ascii="華康行書體" w:eastAsia="華康行書體"/>
                <w:b/>
                <w:color w:val="0000FF"/>
                <w:szCs w:val="24"/>
              </w:rPr>
            </w:pPr>
          </w:p>
          <w:p w:rsidR="00751D6C" w:rsidRDefault="00751D6C">
            <w:pPr>
              <w:spacing w:line="240" w:lineRule="auto"/>
              <w:rPr>
                <w:rFonts w:ascii="華康行書體" w:eastAsia="華康行書體" w:hAnsi="標楷體"/>
                <w:spacing w:val="-8"/>
                <w:szCs w:val="24"/>
              </w:rPr>
            </w:pPr>
          </w:p>
        </w:tc>
      </w:tr>
      <w:tr w:rsidR="00751D6C">
        <w:tc>
          <w:tcPr>
            <w:tcW w:w="5868" w:type="dxa"/>
          </w:tcPr>
          <w:p w:rsidR="00751D6C" w:rsidRDefault="0082095A" w:rsidP="00733E10">
            <w:pPr>
              <w:pStyle w:val="HTML"/>
              <w:tabs>
                <w:tab w:val="clear" w:pos="916"/>
                <w:tab w:val="clear" w:pos="9160"/>
              </w:tabs>
              <w:spacing w:before="100" w:beforeAutospacing="1" w:after="100" w:afterAutospacing="1"/>
              <w:jc w:val="center"/>
              <w:rPr>
                <w:rFonts w:ascii="新細明體" w:eastAsia="新細明體" w:hAnsi="新細明體"/>
                <w:color w:val="000000"/>
                <w:sz w:val="32"/>
                <w:szCs w:val="32"/>
              </w:rPr>
            </w:pPr>
            <w:r w:rsidRPr="0082095A">
              <w:rPr>
                <w:rFonts w:hAnsi="細明體" w:hint="eastAsia"/>
                <w:spacing w:val="20"/>
                <w:sz w:val="36"/>
                <w:szCs w:val="36"/>
              </w:rPr>
              <w:t>食品相關發明的日本專利局實務</w:t>
            </w:r>
            <w:r w:rsidRPr="0082095A">
              <w:rPr>
                <w:rFonts w:hAnsi="細明體"/>
                <w:spacing w:val="20"/>
                <w:sz w:val="36"/>
                <w:szCs w:val="36"/>
              </w:rPr>
              <w:t>(</w:t>
            </w:r>
            <w:r w:rsidR="00733E10">
              <w:rPr>
                <w:rFonts w:hAnsi="細明體" w:hint="eastAsia"/>
                <w:spacing w:val="20"/>
                <w:sz w:val="36"/>
                <w:szCs w:val="36"/>
              </w:rPr>
              <w:t>三</w:t>
            </w:r>
            <w:r w:rsidRPr="0082095A">
              <w:rPr>
                <w:rFonts w:hAnsi="細明體"/>
                <w:spacing w:val="20"/>
                <w:sz w:val="36"/>
                <w:szCs w:val="36"/>
              </w:rPr>
              <w:t>)</w:t>
            </w:r>
          </w:p>
        </w:tc>
        <w:tc>
          <w:tcPr>
            <w:tcW w:w="3419" w:type="dxa"/>
            <w:gridSpan w:val="2"/>
          </w:tcPr>
          <w:p w:rsidR="00751D6C" w:rsidRDefault="00751D6C">
            <w:pPr>
              <w:spacing w:line="240" w:lineRule="auto"/>
              <w:rPr>
                <w:rFonts w:ascii="新細明體" w:eastAsia="新細明體" w:hAnsi="新細明體"/>
                <w:b/>
                <w:color w:val="0000FF"/>
                <w:szCs w:val="24"/>
              </w:rPr>
            </w:pPr>
          </w:p>
          <w:p w:rsidR="00751D6C" w:rsidRDefault="00751D6C">
            <w:pPr>
              <w:spacing w:line="240" w:lineRule="auto"/>
              <w:rPr>
                <w:rFonts w:ascii="新細明體" w:eastAsia="新細明體" w:hAnsi="新細明體"/>
                <w:color w:val="0000FF"/>
                <w:spacing w:val="-8"/>
                <w:szCs w:val="24"/>
              </w:rPr>
            </w:pPr>
            <w:r>
              <w:rPr>
                <w:rFonts w:ascii="新細明體" w:eastAsia="新細明體" w:hAnsi="新細明體" w:hint="eastAsia"/>
                <w:b/>
                <w:color w:val="0000FF"/>
                <w:spacing w:val="-8"/>
                <w:szCs w:val="24"/>
              </w:rPr>
              <w:t>徐佳琨</w:t>
            </w:r>
            <w:r>
              <w:rPr>
                <w:rFonts w:ascii="新細明體" w:eastAsia="新細明體" w:hAnsi="新細明體" w:hint="eastAsia"/>
                <w:color w:val="0000FF"/>
                <w:spacing w:val="-8"/>
                <w:szCs w:val="24"/>
              </w:rPr>
              <w:t xml:space="preserve"> 專利工程師</w:t>
            </w:r>
          </w:p>
          <w:p w:rsidR="00751D6C" w:rsidRDefault="00751D6C">
            <w:pPr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新細明體"/>
                <w:sz w:val="20"/>
              </w:rPr>
              <w:t>·</w:t>
            </w:r>
            <w:r>
              <w:rPr>
                <w:rFonts w:ascii="新細明體" w:eastAsia="新細明體" w:hAnsi="新細明體" w:hint="eastAsia"/>
                <w:sz w:val="20"/>
              </w:rPr>
              <w:t xml:space="preserve"> 大同工學院機械工程學士</w:t>
            </w:r>
          </w:p>
          <w:p w:rsidR="00751D6C" w:rsidRDefault="00751D6C">
            <w:pPr>
              <w:spacing w:line="240" w:lineRule="auto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新細明體"/>
                <w:sz w:val="20"/>
              </w:rPr>
              <w:t>·</w:t>
            </w:r>
            <w:r>
              <w:rPr>
                <w:rFonts w:eastAsia="新細明體" w:hint="eastAsia"/>
                <w:sz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</w:rPr>
              <w:t>台北大學法律學士</w:t>
            </w:r>
          </w:p>
          <w:p w:rsidR="00751D6C" w:rsidRDefault="00751D6C">
            <w:pPr>
              <w:spacing w:line="240" w:lineRule="auto"/>
              <w:rPr>
                <w:rFonts w:ascii="新細明體" w:eastAsia="新細明體" w:hAnsi="新細明體"/>
                <w:spacing w:val="-8"/>
                <w:szCs w:val="24"/>
              </w:rPr>
            </w:pPr>
          </w:p>
        </w:tc>
      </w:tr>
      <w:tr w:rsidR="00751D6C" w:rsidTr="000C4270">
        <w:trPr>
          <w:trHeight w:val="10592"/>
        </w:trPr>
        <w:tc>
          <w:tcPr>
            <w:tcW w:w="9287" w:type="dxa"/>
            <w:gridSpan w:val="3"/>
          </w:tcPr>
          <w:p w:rsidR="00DE525D" w:rsidRPr="00733E10" w:rsidRDefault="00DE525D" w:rsidP="00733E10">
            <w:pPr>
              <w:pStyle w:val="a8"/>
              <w:tabs>
                <w:tab w:val="left" w:pos="3015"/>
              </w:tabs>
              <w:adjustRightInd/>
              <w:spacing w:line="360" w:lineRule="auto"/>
              <w:ind w:firstLineChars="0" w:firstLine="0"/>
              <w:rPr>
                <w:rFonts w:ascii="Times New Roman" w:eastAsia="新細明體" w:hAnsi="新細明體"/>
                <w:sz w:val="24"/>
                <w:szCs w:val="24"/>
              </w:rPr>
            </w:pPr>
            <w:r w:rsidRPr="00DE525D">
              <w:rPr>
                <w:rFonts w:ascii="Times New Roman" w:eastAsia="新細明體" w:hAnsi="新細明體" w:hint="eastAsia"/>
                <w:sz w:val="24"/>
                <w:szCs w:val="24"/>
              </w:rPr>
              <w:t>3</w:t>
            </w:r>
            <w:r w:rsidRPr="00DE525D">
              <w:rPr>
                <w:rFonts w:ascii="Times New Roman" w:eastAsia="新細明體" w:hAnsi="新細明體"/>
                <w:sz w:val="24"/>
                <w:szCs w:val="24"/>
              </w:rPr>
              <w:t>.</w:t>
            </w:r>
            <w:r w:rsidRPr="00DE525D">
              <w:rPr>
                <w:rFonts w:ascii="Times New Roman" w:eastAsia="新細明體" w:hAnsi="新細明體" w:hint="eastAsia"/>
                <w:sz w:val="24"/>
                <w:szCs w:val="24"/>
              </w:rPr>
              <w:t xml:space="preserve"> </w:t>
            </w:r>
            <w:r w:rsidRPr="00DE525D">
              <w:rPr>
                <w:rFonts w:ascii="Times New Roman" w:eastAsia="新細明體" w:hAnsi="新細明體" w:hint="eastAsia"/>
                <w:sz w:val="24"/>
                <w:szCs w:val="24"/>
              </w:rPr>
              <w:t>在食品領域中含有用途限制範圍的請求項的案例：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(2)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限定用途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的劑類專利</w:t>
            </w:r>
            <w:proofErr w:type="gramEnd"/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案例：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/>
                <w:sz w:val="24"/>
                <w:szCs w:val="24"/>
              </w:rPr>
            </w:pP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一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用以強化骨骼的藥劑具有成份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X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為活性成份。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在日本專利審查中，許多獲准發明案例子的用途限定之被核准，係在不針對被認為既存食物中的「食品成份」，而以「劑」作為請求項的標的。編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註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：譬如說基於一個已知的茶葉萃取物可抑制特定種類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活性氧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物質之生成或降低其含量之知識，藉由「劑」的請求項而使用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途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限定被接受且獲准</w:t>
            </w:r>
            <w:r w:rsidRPr="00733E10">
              <w:rPr>
                <w:rFonts w:ascii="Times New Roman" w:eastAsia="新細明體" w:hAnsi="新細明體"/>
                <w:sz w:val="24"/>
                <w:szCs w:val="24"/>
              </w:rPr>
              <w:t>(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日本專利第</w:t>
            </w:r>
            <w:r w:rsidRPr="00733E10">
              <w:rPr>
                <w:rFonts w:ascii="Times New Roman" w:eastAsia="新細明體" w:hAnsi="新細明體"/>
                <w:sz w:val="24"/>
                <w:szCs w:val="24"/>
              </w:rPr>
              <w:t>4435604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號</w:t>
            </w:r>
            <w:r w:rsidRPr="00733E10">
              <w:rPr>
                <w:rFonts w:ascii="Times New Roman" w:eastAsia="新細明體" w:hAnsi="新細明體"/>
                <w:sz w:val="24"/>
                <w:szCs w:val="24"/>
              </w:rPr>
              <w:t>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。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此獲證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案申請專利範圍主張「茶胺酸組成的抗氧化劑用以抑制選自二氧化物、過氧化氫、次氯酸群組中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活性氧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的生成，或降低其數量」。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在審查程序中，當作為請求項標的所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述劑被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闡明是未含於既存食物內，且其活性成份僅是成份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A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，不僅新穎性被認可、創造性也幾乎不成問題，因為用途限制是被允許的，故此發明註冊了。然而，請求項標的之「劑」之權利範圍也被指出是不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清楚的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。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(</w:t>
            </w:r>
            <w:r w:rsidR="007F0A3D">
              <w:rPr>
                <w:rFonts w:ascii="Times New Roman" w:eastAsia="新細明體" w:hAnsi="新細明體"/>
                <w:sz w:val="24"/>
                <w:szCs w:val="24"/>
              </w:rPr>
              <w:t>3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治療方法專利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案例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一種為一主體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(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不含醫療實踐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進行骨骼強化的方法，包括對有此需求之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一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主體投放成份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X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以求強化骨骼。</w:t>
            </w:r>
          </w:p>
          <w:p w:rsidR="00733E10" w:rsidRPr="00733E10" w:rsidRDefault="00733E10" w:rsidP="00733E10">
            <w:pPr>
              <w:pStyle w:val="a8"/>
              <w:adjustRightInd/>
              <w:spacing w:line="360" w:lineRule="auto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在方法請求項中，解釋用途限制之方式並未在審查基準中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清楚的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描述。在作者的經驗中，用途限制即使是在方法項中亦不被特別考慮，但原則上用途限制在產品專利中以同樣的方式則被考慮，且其判斷似乎是根據用途限制是否影響步驟，或是否提供新的用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lastRenderedPageBreak/>
              <w:t>途。所以，若新用途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(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適應症、劑量、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服法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與習用技術並無不同，則要獲准會很困難。</w:t>
            </w:r>
          </w:p>
          <w:p w:rsidR="00751D6C" w:rsidRPr="00733E10" w:rsidRDefault="00733E10" w:rsidP="00733E10">
            <w:pPr>
              <w:pStyle w:val="a8"/>
              <w:adjustRightInd/>
              <w:spacing w:line="500" w:lineRule="exact"/>
              <w:ind w:firstLineChars="200" w:firstLine="480"/>
              <w:rPr>
                <w:rFonts w:ascii="Times New Roman" w:eastAsia="新細明體" w:hAnsi="新細明體" w:hint="eastAsia"/>
                <w:sz w:val="24"/>
                <w:szCs w:val="24"/>
              </w:rPr>
            </w:pP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更進一步言，在許多案例中，當牽涉到食品領域之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一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發明被請求為方法時，此申請案則被視為不具產業利用性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(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違反專利法第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29(1)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條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，理由是其包含了醫療實務，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且核駁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理由將被通知。然而，藉由闡明發明並不包括對人體的治療方法，該核駁理由即被化解。作為一請求項的描述以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化解此核駁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理由，有一方法，即其標的被限定在「非人體」，即於方法項中描述「不包括應用在個別人體」，而另一方法項中描述「醫療實務除外」等等。方法項中說明「排除醫療實務」常見於化妝品領域，然而，也有例子顯示其方法「排除醫療實務」在食品領域中是可被接受的。編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註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：在日本專利第</w:t>
            </w:r>
            <w:r w:rsidRPr="00733E10">
              <w:rPr>
                <w:rFonts w:ascii="Times New Roman" w:eastAsia="新細明體" w:hAnsi="新細明體"/>
                <w:sz w:val="24"/>
                <w:szCs w:val="24"/>
              </w:rPr>
              <w:t>4338233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號中：「用以增進不能飲酒者的食慾的方法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(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排除醫療實務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)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，包含使該主體口服</w:t>
            </w:r>
            <w:proofErr w:type="gramStart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一</w:t>
            </w:r>
            <w:proofErr w:type="gramEnd"/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含有</w:t>
            </w:r>
            <w:r w:rsidRPr="00733E10">
              <w:rPr>
                <w:rFonts w:ascii="Times New Roman" w:eastAsia="新細明體" w:hAnsi="新細明體"/>
                <w:sz w:val="24"/>
                <w:szCs w:val="24"/>
              </w:rPr>
              <w:t>N-</w:t>
            </w:r>
            <w:r w:rsidRPr="00733E10">
              <w:rPr>
                <w:rFonts w:ascii="Times New Roman" w:eastAsia="新細明體" w:hAnsi="新細明體"/>
                <w:sz w:val="24"/>
                <w:szCs w:val="24"/>
              </w:rPr>
              <w:t>甲基酪胺</w:t>
            </w:r>
            <w:r w:rsidRPr="00733E10">
              <w:rPr>
                <w:rFonts w:ascii="Times New Roman" w:eastAsia="新細明體" w:hAnsi="新細明體" w:hint="eastAsia"/>
                <w:sz w:val="24"/>
                <w:szCs w:val="24"/>
              </w:rPr>
              <w:t>的食物或飲料」。</w:t>
            </w:r>
            <w:r>
              <w:rPr>
                <w:rFonts w:ascii="Times New Roman" w:eastAsia="新細明體" w:hAnsi="新細明體" w:hint="eastAsia"/>
                <w:sz w:val="24"/>
                <w:szCs w:val="24"/>
              </w:rPr>
              <w:t>(</w:t>
            </w:r>
            <w:r>
              <w:rPr>
                <w:rFonts w:ascii="Times New Roman" w:eastAsia="新細明體" w:hAnsi="新細明體" w:hint="eastAsia"/>
                <w:sz w:val="24"/>
                <w:szCs w:val="24"/>
              </w:rPr>
              <w:t>結束</w:t>
            </w:r>
            <w:r>
              <w:rPr>
                <w:rFonts w:ascii="Times New Roman" w:eastAsia="新細明體" w:hAnsi="新細明體" w:hint="eastAsia"/>
                <w:sz w:val="24"/>
                <w:szCs w:val="24"/>
              </w:rPr>
              <w:t>)</w:t>
            </w:r>
          </w:p>
        </w:tc>
      </w:tr>
    </w:tbl>
    <w:p w:rsidR="00751D6C" w:rsidRDefault="00751D6C" w:rsidP="000C4270">
      <w:pPr>
        <w:pStyle w:val="a8"/>
        <w:snapToGrid w:val="0"/>
        <w:ind w:firstLineChars="0" w:firstLine="0"/>
        <w:rPr>
          <w:rFonts w:hAnsi="標楷體"/>
          <w:color w:val="000000"/>
          <w:sz w:val="24"/>
          <w:szCs w:val="24"/>
        </w:rPr>
      </w:pPr>
    </w:p>
    <w:sectPr w:rsidR="00751D6C" w:rsidSect="00DC6EFD">
      <w:footerReference w:type="even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BB" w:rsidRDefault="008A5ABB">
      <w:r>
        <w:separator/>
      </w:r>
    </w:p>
  </w:endnote>
  <w:endnote w:type="continuationSeparator" w:id="0">
    <w:p w:rsidR="008A5ABB" w:rsidRDefault="008A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行書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10" w:rsidRDefault="00833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510" w:rsidRDefault="0050051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10" w:rsidRDefault="008335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A3D">
      <w:rPr>
        <w:rStyle w:val="a5"/>
        <w:noProof/>
      </w:rPr>
      <w:t>1</w:t>
    </w:r>
    <w:r>
      <w:rPr>
        <w:rStyle w:val="a5"/>
      </w:rPr>
      <w:fldChar w:fldCharType="end"/>
    </w:r>
  </w:p>
  <w:p w:rsidR="00500510" w:rsidRDefault="005005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BB" w:rsidRDefault="008A5ABB">
      <w:r>
        <w:separator/>
      </w:r>
    </w:p>
  </w:footnote>
  <w:footnote w:type="continuationSeparator" w:id="0">
    <w:p w:rsidR="008A5ABB" w:rsidRDefault="008A5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5AD"/>
    <w:multiLevelType w:val="hybridMultilevel"/>
    <w:tmpl w:val="10B665E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B63DF0"/>
    <w:multiLevelType w:val="hybridMultilevel"/>
    <w:tmpl w:val="9EFA61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610E12"/>
    <w:multiLevelType w:val="hybridMultilevel"/>
    <w:tmpl w:val="C3648F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54919"/>
    <w:multiLevelType w:val="hybridMultilevel"/>
    <w:tmpl w:val="1E864E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35619D"/>
    <w:multiLevelType w:val="hybridMultilevel"/>
    <w:tmpl w:val="3D2E8E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4F6A01"/>
    <w:multiLevelType w:val="hybridMultilevel"/>
    <w:tmpl w:val="F0C8A7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830AF6"/>
    <w:multiLevelType w:val="hybridMultilevel"/>
    <w:tmpl w:val="A43AE3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2B70C758">
      <w:start w:val="1"/>
      <w:numFmt w:val="taiwaneseCountingThousand"/>
      <w:lvlText w:val="%2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CC1CC34A">
      <w:start w:val="1"/>
      <w:numFmt w:val="decimalFullWidth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30E2D61A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849844FA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312A65"/>
    <w:multiLevelType w:val="hybridMultilevel"/>
    <w:tmpl w:val="D374B9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8E2B2A"/>
    <w:multiLevelType w:val="hybridMultilevel"/>
    <w:tmpl w:val="C56AE5B0"/>
    <w:lvl w:ilvl="0" w:tplc="600AD85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2B70C758">
      <w:start w:val="1"/>
      <w:numFmt w:val="taiwaneseCountingThousand"/>
      <w:lvlText w:val="%2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44070C3"/>
    <w:multiLevelType w:val="hybridMultilevel"/>
    <w:tmpl w:val="8D187E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4E062DD"/>
    <w:multiLevelType w:val="hybridMultilevel"/>
    <w:tmpl w:val="5BE49C18"/>
    <w:lvl w:ilvl="0" w:tplc="0DACBEE2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25BB3015"/>
    <w:multiLevelType w:val="hybridMultilevel"/>
    <w:tmpl w:val="9BFEFF46"/>
    <w:lvl w:ilvl="0" w:tplc="066CBF3A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EB4AD9"/>
    <w:multiLevelType w:val="hybridMultilevel"/>
    <w:tmpl w:val="6FAA65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642515E">
      <w:start w:val="1"/>
      <w:numFmt w:val="ideographZodiac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6F66004"/>
    <w:multiLevelType w:val="hybridMultilevel"/>
    <w:tmpl w:val="D3A637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6E5AC3"/>
    <w:multiLevelType w:val="hybridMultilevel"/>
    <w:tmpl w:val="24D212A8"/>
    <w:lvl w:ilvl="0" w:tplc="2FFE821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2E110B75"/>
    <w:multiLevelType w:val="hybridMultilevel"/>
    <w:tmpl w:val="0BC61F8A"/>
    <w:lvl w:ilvl="0" w:tplc="63E258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965B7A"/>
    <w:multiLevelType w:val="hybridMultilevel"/>
    <w:tmpl w:val="4C5A71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6103F75"/>
    <w:multiLevelType w:val="hybridMultilevel"/>
    <w:tmpl w:val="08ECA75C"/>
    <w:lvl w:ilvl="0" w:tplc="1138D55C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ascii="標楷體" w:hAnsi="標楷體" w:cs="細明體" w:hint="default"/>
      </w:rPr>
    </w:lvl>
    <w:lvl w:ilvl="1" w:tplc="0642515E">
      <w:start w:val="1"/>
      <w:numFmt w:val="ideographZodiac"/>
      <w:lvlText w:val="%2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7BD10B2"/>
    <w:multiLevelType w:val="hybridMultilevel"/>
    <w:tmpl w:val="E660A0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1B176FF"/>
    <w:multiLevelType w:val="hybridMultilevel"/>
    <w:tmpl w:val="C6821C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0D28D2"/>
    <w:multiLevelType w:val="hybridMultilevel"/>
    <w:tmpl w:val="169CB82E"/>
    <w:lvl w:ilvl="0" w:tplc="2FFE8216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442041D8"/>
    <w:multiLevelType w:val="hybridMultilevel"/>
    <w:tmpl w:val="2A64B6DA"/>
    <w:lvl w:ilvl="0" w:tplc="DA98A150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asci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48D6109F"/>
    <w:multiLevelType w:val="hybridMultilevel"/>
    <w:tmpl w:val="22E4F924"/>
    <w:lvl w:ilvl="0" w:tplc="80EC6D64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3">
    <w:nsid w:val="4CC613CA"/>
    <w:multiLevelType w:val="hybridMultilevel"/>
    <w:tmpl w:val="6444FDA0"/>
    <w:lvl w:ilvl="0" w:tplc="22322DC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E8920CC"/>
    <w:multiLevelType w:val="hybridMultilevel"/>
    <w:tmpl w:val="B7BEA6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77A91"/>
    <w:multiLevelType w:val="hybridMultilevel"/>
    <w:tmpl w:val="C7F46E9E"/>
    <w:lvl w:ilvl="0" w:tplc="DDF23BD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01A38B8"/>
    <w:multiLevelType w:val="hybridMultilevel"/>
    <w:tmpl w:val="B7EA43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36B7773"/>
    <w:multiLevelType w:val="hybridMultilevel"/>
    <w:tmpl w:val="60C4D5D8"/>
    <w:lvl w:ilvl="0" w:tplc="39FE33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9C644DD"/>
    <w:multiLevelType w:val="hybridMultilevel"/>
    <w:tmpl w:val="97C03D88"/>
    <w:lvl w:ilvl="0" w:tplc="466E40C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3D624C"/>
    <w:multiLevelType w:val="hybridMultilevel"/>
    <w:tmpl w:val="ACBADC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4A0D5B"/>
    <w:multiLevelType w:val="hybridMultilevel"/>
    <w:tmpl w:val="2904E4C2"/>
    <w:lvl w:ilvl="0" w:tplc="0642515E">
      <w:start w:val="1"/>
      <w:numFmt w:val="ideographZodiac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DCAE1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EA35E2E"/>
    <w:multiLevelType w:val="hybridMultilevel"/>
    <w:tmpl w:val="7D9AEF56"/>
    <w:lvl w:ilvl="0" w:tplc="02D619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52F87A">
      <w:start w:val="1"/>
      <w:numFmt w:val="taiwaneseCountingThousand"/>
      <w:lvlText w:val="（%2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2" w:tplc="DC16B7F4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FE2436A0">
      <w:start w:val="1"/>
      <w:numFmt w:val="decimalFullWidth"/>
      <w:lvlText w:val="%5、"/>
      <w:lvlJc w:val="left"/>
      <w:pPr>
        <w:tabs>
          <w:tab w:val="num" w:pos="2641"/>
        </w:tabs>
        <w:ind w:left="2641" w:hanging="720"/>
      </w:pPr>
      <w:rPr>
        <w:rFonts w:hint="default"/>
      </w:rPr>
    </w:lvl>
    <w:lvl w:ilvl="5" w:tplc="1F8EFA1A">
      <w:start w:val="1"/>
      <w:numFmt w:val="ideographTraditional"/>
      <w:lvlText w:val="%6、"/>
      <w:lvlJc w:val="left"/>
      <w:pPr>
        <w:tabs>
          <w:tab w:val="num" w:pos="3121"/>
        </w:tabs>
        <w:ind w:left="3121" w:hanging="720"/>
      </w:pPr>
      <w:rPr>
        <w:rFonts w:hint="default"/>
      </w:rPr>
    </w:lvl>
    <w:lvl w:ilvl="6" w:tplc="3E78D1BC">
      <w:start w:val="1"/>
      <w:numFmt w:val="ideographZodiac"/>
      <w:lvlText w:val="%7、"/>
      <w:lvlJc w:val="left"/>
      <w:pPr>
        <w:tabs>
          <w:tab w:val="num" w:pos="3601"/>
        </w:tabs>
        <w:ind w:left="3601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32">
    <w:nsid w:val="60B36F5D"/>
    <w:multiLevelType w:val="hybridMultilevel"/>
    <w:tmpl w:val="0BBA565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4C46D9F"/>
    <w:multiLevelType w:val="hybridMultilevel"/>
    <w:tmpl w:val="698EE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117CA2"/>
    <w:multiLevelType w:val="hybridMultilevel"/>
    <w:tmpl w:val="AFD06E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B34F2C"/>
    <w:multiLevelType w:val="hybridMultilevel"/>
    <w:tmpl w:val="160871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2E45642"/>
    <w:multiLevelType w:val="hybridMultilevel"/>
    <w:tmpl w:val="DAD225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513519"/>
    <w:multiLevelType w:val="hybridMultilevel"/>
    <w:tmpl w:val="47BC6B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AC81FD6"/>
    <w:multiLevelType w:val="hybridMultilevel"/>
    <w:tmpl w:val="F79838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C1466E"/>
    <w:multiLevelType w:val="hybridMultilevel"/>
    <w:tmpl w:val="55A03D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0"/>
  </w:num>
  <w:num w:numId="3">
    <w:abstractNumId w:val="39"/>
  </w:num>
  <w:num w:numId="4">
    <w:abstractNumId w:val="7"/>
  </w:num>
  <w:num w:numId="5">
    <w:abstractNumId w:val="14"/>
  </w:num>
  <w:num w:numId="6">
    <w:abstractNumId w:val="20"/>
  </w:num>
  <w:num w:numId="7">
    <w:abstractNumId w:val="3"/>
  </w:num>
  <w:num w:numId="8">
    <w:abstractNumId w:val="33"/>
  </w:num>
  <w:num w:numId="9">
    <w:abstractNumId w:val="29"/>
  </w:num>
  <w:num w:numId="10">
    <w:abstractNumId w:val="36"/>
  </w:num>
  <w:num w:numId="11">
    <w:abstractNumId w:val="35"/>
  </w:num>
  <w:num w:numId="12">
    <w:abstractNumId w:val="1"/>
  </w:num>
  <w:num w:numId="13">
    <w:abstractNumId w:val="26"/>
  </w:num>
  <w:num w:numId="14">
    <w:abstractNumId w:val="2"/>
  </w:num>
  <w:num w:numId="15">
    <w:abstractNumId w:val="34"/>
  </w:num>
  <w:num w:numId="16">
    <w:abstractNumId w:val="9"/>
  </w:num>
  <w:num w:numId="17">
    <w:abstractNumId w:val="31"/>
  </w:num>
  <w:num w:numId="18">
    <w:abstractNumId w:val="4"/>
  </w:num>
  <w:num w:numId="19">
    <w:abstractNumId w:val="11"/>
  </w:num>
  <w:num w:numId="20">
    <w:abstractNumId w:val="30"/>
  </w:num>
  <w:num w:numId="21">
    <w:abstractNumId w:val="17"/>
  </w:num>
  <w:num w:numId="22">
    <w:abstractNumId w:val="23"/>
  </w:num>
  <w:num w:numId="23">
    <w:abstractNumId w:val="27"/>
  </w:num>
  <w:num w:numId="24">
    <w:abstractNumId w:val="38"/>
  </w:num>
  <w:num w:numId="25">
    <w:abstractNumId w:val="8"/>
  </w:num>
  <w:num w:numId="26">
    <w:abstractNumId w:val="6"/>
  </w:num>
  <w:num w:numId="27">
    <w:abstractNumId w:val="16"/>
  </w:num>
  <w:num w:numId="28">
    <w:abstractNumId w:val="24"/>
  </w:num>
  <w:num w:numId="29">
    <w:abstractNumId w:val="18"/>
  </w:num>
  <w:num w:numId="30">
    <w:abstractNumId w:val="19"/>
  </w:num>
  <w:num w:numId="31">
    <w:abstractNumId w:val="12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  <w:num w:numId="36">
    <w:abstractNumId w:val="10"/>
  </w:num>
  <w:num w:numId="37">
    <w:abstractNumId w:val="37"/>
  </w:num>
  <w:num w:numId="38">
    <w:abstractNumId w:val="13"/>
  </w:num>
  <w:num w:numId="39">
    <w:abstractNumId w:val="2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3313"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527"/>
    <w:rsid w:val="00064102"/>
    <w:rsid w:val="00067E5A"/>
    <w:rsid w:val="00090824"/>
    <w:rsid w:val="000C4270"/>
    <w:rsid w:val="00167C25"/>
    <w:rsid w:val="00181B24"/>
    <w:rsid w:val="001B624C"/>
    <w:rsid w:val="001D550F"/>
    <w:rsid w:val="00214E30"/>
    <w:rsid w:val="00291537"/>
    <w:rsid w:val="002D45DA"/>
    <w:rsid w:val="00315581"/>
    <w:rsid w:val="003A7043"/>
    <w:rsid w:val="00433C9E"/>
    <w:rsid w:val="004707A7"/>
    <w:rsid w:val="004A00B4"/>
    <w:rsid w:val="004A7527"/>
    <w:rsid w:val="004F3A7F"/>
    <w:rsid w:val="00500510"/>
    <w:rsid w:val="00535FDD"/>
    <w:rsid w:val="00615420"/>
    <w:rsid w:val="006275E8"/>
    <w:rsid w:val="00733E10"/>
    <w:rsid w:val="00751D6C"/>
    <w:rsid w:val="007A7EAB"/>
    <w:rsid w:val="007C0AB8"/>
    <w:rsid w:val="007D74AC"/>
    <w:rsid w:val="007F0A3D"/>
    <w:rsid w:val="007F247F"/>
    <w:rsid w:val="007F2FFB"/>
    <w:rsid w:val="0082095A"/>
    <w:rsid w:val="008335AB"/>
    <w:rsid w:val="0083702E"/>
    <w:rsid w:val="00882174"/>
    <w:rsid w:val="008A5ABB"/>
    <w:rsid w:val="008B2961"/>
    <w:rsid w:val="008E4B21"/>
    <w:rsid w:val="008F4111"/>
    <w:rsid w:val="009C5262"/>
    <w:rsid w:val="009D0B46"/>
    <w:rsid w:val="00AA45D9"/>
    <w:rsid w:val="00B40EDD"/>
    <w:rsid w:val="00B725F9"/>
    <w:rsid w:val="00B938CB"/>
    <w:rsid w:val="00BC2435"/>
    <w:rsid w:val="00BF5625"/>
    <w:rsid w:val="00C30AC2"/>
    <w:rsid w:val="00C60D87"/>
    <w:rsid w:val="00CB1AF8"/>
    <w:rsid w:val="00D02D00"/>
    <w:rsid w:val="00D70270"/>
    <w:rsid w:val="00DC6EFD"/>
    <w:rsid w:val="00DD6727"/>
    <w:rsid w:val="00DE525D"/>
    <w:rsid w:val="00E42EB6"/>
    <w:rsid w:val="00E57405"/>
    <w:rsid w:val="00EC2006"/>
    <w:rsid w:val="00F0122C"/>
    <w:rsid w:val="00F07516"/>
    <w:rsid w:val="00F2757B"/>
    <w:rsid w:val="00F6598E"/>
    <w:rsid w:val="00F769E8"/>
    <w:rsid w:val="00FC277E"/>
    <w:rsid w:val="00FF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2">
    <w:name w:val="heading 2"/>
    <w:basedOn w:val="a"/>
    <w:qFormat/>
    <w:rsid w:val="00DC6EFD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DC6E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Courier New" w:cs="Courier New"/>
      <w:sz w:val="20"/>
    </w:rPr>
  </w:style>
  <w:style w:type="paragraph" w:styleId="a3">
    <w:name w:val="footer"/>
    <w:basedOn w:val="a"/>
    <w:link w:val="a4"/>
    <w:uiPriority w:val="99"/>
    <w:semiHidden/>
    <w:rsid w:val="00DC6EFD"/>
    <w:pPr>
      <w:widowControl/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sz w:val="20"/>
    </w:rPr>
  </w:style>
  <w:style w:type="character" w:styleId="a5">
    <w:name w:val="page number"/>
    <w:basedOn w:val="a0"/>
    <w:semiHidden/>
    <w:rsid w:val="00DC6EFD"/>
  </w:style>
  <w:style w:type="character" w:styleId="a6">
    <w:name w:val="Hyperlink"/>
    <w:basedOn w:val="a0"/>
    <w:semiHidden/>
    <w:rsid w:val="00DC6EFD"/>
    <w:rPr>
      <w:color w:val="0000FF"/>
      <w:u w:val="single"/>
    </w:rPr>
  </w:style>
  <w:style w:type="paragraph" w:styleId="a7">
    <w:name w:val="header"/>
    <w:basedOn w:val="a"/>
    <w:semiHidden/>
    <w:rsid w:val="00DC6EF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link w:val="a9"/>
    <w:uiPriority w:val="99"/>
    <w:semiHidden/>
    <w:rsid w:val="00DC6EFD"/>
    <w:pPr>
      <w:autoSpaceDE w:val="0"/>
      <w:autoSpaceDN w:val="0"/>
      <w:spacing w:line="240" w:lineRule="auto"/>
      <w:ind w:firstLineChars="110" w:firstLine="308"/>
      <w:jc w:val="both"/>
      <w:textAlignment w:val="auto"/>
    </w:pPr>
    <w:rPr>
      <w:rFonts w:ascii="標楷體" w:eastAsia="標楷體"/>
      <w:sz w:val="28"/>
    </w:rPr>
  </w:style>
  <w:style w:type="character" w:customStyle="1" w:styleId="apple-style-span">
    <w:name w:val="apple-style-span"/>
    <w:basedOn w:val="a0"/>
    <w:rsid w:val="00C30AC2"/>
  </w:style>
  <w:style w:type="paragraph" w:styleId="aa">
    <w:name w:val="Balloon Text"/>
    <w:basedOn w:val="a"/>
    <w:link w:val="ab"/>
    <w:uiPriority w:val="99"/>
    <w:semiHidden/>
    <w:unhideWhenUsed/>
    <w:rsid w:val="000C427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4270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本文縮排 字元"/>
    <w:basedOn w:val="a0"/>
    <w:link w:val="a8"/>
    <w:uiPriority w:val="99"/>
    <w:semiHidden/>
    <w:rsid w:val="000C4270"/>
    <w:rPr>
      <w:rFonts w:ascii="標楷體" w:eastAsia="標楷體"/>
      <w:sz w:val="28"/>
    </w:rPr>
  </w:style>
  <w:style w:type="character" w:customStyle="1" w:styleId="a4">
    <w:name w:val="頁尾 字元"/>
    <w:basedOn w:val="a0"/>
    <w:link w:val="a3"/>
    <w:uiPriority w:val="99"/>
    <w:semiHidden/>
    <w:locked/>
    <w:rsid w:val="000C4270"/>
  </w:style>
  <w:style w:type="character" w:customStyle="1" w:styleId="3">
    <w:name w:val="字元 字元3"/>
    <w:basedOn w:val="a0"/>
    <w:semiHidden/>
    <w:rsid w:val="00B725F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943</Words>
  <Characters>69</Characters>
  <Application>Microsoft Office Word</Application>
  <DocSecurity>0</DocSecurity>
  <Lines>1</Lines>
  <Paragraphs>2</Paragraphs>
  <ScaleCrop>false</ScaleCrop>
  <Company>mychat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造神運動v</dc:title>
  <dc:subject/>
  <dc:creator>deepnfar</dc:creator>
  <cp:keywords/>
  <dc:description/>
  <cp:lastModifiedBy>jeffrey_xu</cp:lastModifiedBy>
  <cp:revision>4</cp:revision>
  <dcterms:created xsi:type="dcterms:W3CDTF">2012-08-15T09:42:00Z</dcterms:created>
  <dcterms:modified xsi:type="dcterms:W3CDTF">2012-08-15T09:47:00Z</dcterms:modified>
</cp:coreProperties>
</file>